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9BD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804CD7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19E632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111DD5" w14:textId="541C770E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VIEŠOSIOS ĮSTAIGOS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FUTBOLO </w:t>
      </w: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AKADEMIJOS „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ŠIAULIAI</w:t>
      </w: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proofErr w:type="gramEnd"/>
    </w:p>
    <w:p w14:paraId="68B24F91" w14:textId="6041BAD3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METŲ KORUPCIJOS PREVENCIJOS PROGRAMA</w:t>
      </w:r>
    </w:p>
    <w:p w14:paraId="77D5A979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A349B1" w14:textId="54A923F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SKYRIUS</w:t>
      </w:r>
    </w:p>
    <w:p w14:paraId="624EC0DF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BENDROSIOS NUOSTATOS</w:t>
      </w:r>
    </w:p>
    <w:p w14:paraId="7CE16513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3520332B" w14:textId="219BE01E" w:rsidR="006F3038" w:rsidRPr="00BC4CD1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1. Viešosios įstaigos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futbolo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akademijos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Šiauliai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“ (toliau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akademija)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korupcijos prevencijos programa (toliau - Programa) parengta vadovaujantis Šiaulių miesto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savivaldybės korupcijos </w:t>
      </w:r>
      <w:r w:rsidRPr="00BC4CD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prevencijos 2024-2025 metų veiksmų planu, patvirtintu 2024 m. sausio</w:t>
      </w:r>
    </w:p>
    <w:p w14:paraId="2F57C56D" w14:textId="77777777" w:rsidR="006F3038" w:rsidRPr="00BC4CD1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C4CD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24 d. Šiaulių miesto savivaldybės administracijos direktoriaus įsakymu Nr. A-34; Lietuvos</w:t>
      </w:r>
    </w:p>
    <w:p w14:paraId="20B404A0" w14:textId="6881F6B6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BC4CD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Respublikos korupcijos prevencijos įstatymu;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Korupcijos prevencijos veiksmų planų, jų projektų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planų įgyvendinimo vertinimo tvarkos aprašu, patvirtintu Lietuvos Respublikos specialiųjų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tyrimų tarnybos direktoriaus 2021 m. gruodžio 28 d. įsakymu Nr. 2-283.</w:t>
      </w:r>
    </w:p>
    <w:p w14:paraId="7CEAFA86" w14:textId="6E67EF10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2. 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Programa skirta užtikrinti korupcijos prevenciją, siekiant sumažinti korupcijos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pasireiškimo galimybes, šalinti prielaidas korupcijai atsirasti ir plisti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akademijoje.</w:t>
      </w:r>
    </w:p>
    <w:p w14:paraId="5D99DAE4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3. Pagrindinės programoje vartojamos sąvokos:</w:t>
      </w:r>
    </w:p>
    <w:p w14:paraId="52E4705E" w14:textId="690F3ECD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korupcija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– bet koks asmenų, dirbančių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akademijoje elgesys, neatitinkantis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jiems suteiktų įgaliojimų ar teisės aktuose numatytų elgesio standartų, ar tokio elgesio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skatinimas, siekiant naudos sau ar kitiems asmenims ir taip pakenkiant piliečių ir valstybės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interesams;</w:t>
      </w:r>
    </w:p>
    <w:p w14:paraId="3A188867" w14:textId="05A1CDA6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korupcijos prevencija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– korupcijos priežasčių, sąlygų atskleidimas ir šalinimas sudarant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ir įgyvendinant tam tikrų priemonių sistemą, taip pat poveikis asmenims siekiant atgrasinti nuo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korupcinio pobūdžio nusikalstamų veikų darymo.</w:t>
      </w:r>
    </w:p>
    <w:p w14:paraId="5A35B5D4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 Programos strateginės kryptys yra:</w:t>
      </w:r>
    </w:p>
    <w:p w14:paraId="598D5AC2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4.1. korupcijos prevencija;</w:t>
      </w:r>
    </w:p>
    <w:p w14:paraId="1EDFAF07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4.2. antikorupcinis švietimas.</w:t>
      </w:r>
    </w:p>
    <w:p w14:paraId="1E52C131" w14:textId="1011960B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Programa įgyvendinama vadovaujantis </w:t>
      </w:r>
      <w:r w:rsidRPr="00BC4CD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Programos įgyvendinimo priemonių planu,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kuriame numatytos prevencinės priemonės, skirtos išvengti socialinių, ekonominių grėsmių,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ginti visuotinai pripažįstamas žmogaus teises, laisves bei viešąjį interesą, ir priemonės, skirtos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gerinti antikorupcinį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akademijos bendruomenės švietimą.</w:t>
      </w:r>
    </w:p>
    <w:p w14:paraId="13D311BC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7CA29FF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II SKYRIUS</w:t>
      </w:r>
    </w:p>
    <w:p w14:paraId="51BA1A7D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PROGRAMOS TIKSLAI IR UŽDAVINIAI</w:t>
      </w:r>
    </w:p>
    <w:p w14:paraId="20A47419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B971B1A" w14:textId="76469A9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5. Programos strateginis tikslas - stiprinti korupcijos prevenciją ir kontrolę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Futbolo</w:t>
      </w:r>
    </w:p>
    <w:p w14:paraId="1EF7B1A7" w14:textId="77777777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akademijoje, šalinti sąlygas, skatinančias korupcijos atsiradimą.</w:t>
      </w:r>
    </w:p>
    <w:p w14:paraId="1F671B3A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 Uždaviniai:</w:t>
      </w:r>
    </w:p>
    <w:p w14:paraId="518C4574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6.1. siekti didesnio sprendimų ir procedūrų skaidrumo;</w:t>
      </w:r>
    </w:p>
    <w:p w14:paraId="0D5154A0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6.2.užtikrinti skaidrų ir racionalų prekių, darbų ir paslaugų pirkimą bei lėšų</w:t>
      </w:r>
    </w:p>
    <w:p w14:paraId="04283DAB" w14:textId="77777777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panaudojimo tvarką;</w:t>
      </w:r>
    </w:p>
    <w:p w14:paraId="16D27DCC" w14:textId="7311440A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6.3. vykdyti antikorupcinį švietimą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66925294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A0B99AE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3F253CB3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430C930" w14:textId="5A13A81D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III SKYRIUS</w:t>
      </w:r>
    </w:p>
    <w:p w14:paraId="7EA2F440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PROGRAMOS ĮGYVENDINIMAS</w:t>
      </w:r>
    </w:p>
    <w:p w14:paraId="2E4F14DC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11BD928" w14:textId="2B764AFA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7. Programai įgyvendinti sudaromas Programos įgyvendinimo priemonių planas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(pridedamas),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nustatantis korupcijos prevencijos priemones, jų įvykdymo tikslus, terminus,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</w:t>
      </w:r>
      <w:r w:rsidRPr="006F303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kriterijus, vykdytojus, laukiamus rezultatus ir jų vertinimo kriterijus.</w:t>
      </w:r>
    </w:p>
    <w:p w14:paraId="446685A9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8. Už konkrečių Programos priemonių įgyvendinimą pagal kompetenciją atsako priemonių</w:t>
      </w:r>
    </w:p>
    <w:p w14:paraId="2C226BBA" w14:textId="77777777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plane nurodyti vykdytojai.</w:t>
      </w:r>
    </w:p>
    <w:p w14:paraId="3F8B956A" w14:textId="56A52868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9. Už Programos priemonių plano įgyvendinimo kontrolę atsakinga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s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akademijos</w:t>
      </w:r>
    </w:p>
    <w:p w14:paraId="68EFCAFD" w14:textId="15430F76" w:rsidR="006F3038" w:rsidRPr="006F3038" w:rsidRDefault="006F3038" w:rsidP="006F3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direktor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ius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ir paskirtas asmuo už korupcijos prevenciją.</w:t>
      </w:r>
    </w:p>
    <w:p w14:paraId="524B30B0" w14:textId="522813A9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10.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akademijos prevencijos programą tvirtina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akademijos direktor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ius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.</w:t>
      </w:r>
    </w:p>
    <w:p w14:paraId="685F251D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</w:p>
    <w:p w14:paraId="2997B58B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IV SKYRIUS</w:t>
      </w:r>
    </w:p>
    <w:p w14:paraId="3C1C54A9" w14:textId="77777777" w:rsid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BAIGAIMOSIOS NUOSTATOS</w:t>
      </w:r>
    </w:p>
    <w:p w14:paraId="4A2A4747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5E8B5F5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11. Programa įgyvendinama pagal Programos įgyvendinimo priemonių planą (1 priedas).</w:t>
      </w:r>
    </w:p>
    <w:p w14:paraId="6B993452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12. Už Programos įgyvendinimą atsakingi Programos priemonių plane nurodyti vykdytojai.</w:t>
      </w:r>
    </w:p>
    <w:p w14:paraId="6F791018" w14:textId="115E22E4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13. Programa skelbiama </w:t>
      </w:r>
      <w:r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>Futbolo</w:t>
      </w:r>
      <w:r w:rsidRPr="006F3038"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  <w:t xml:space="preserve"> akademijos interneto svetainėje </w:t>
      </w:r>
      <w:hyperlink r:id="rId4" w:history="1">
        <w:r w:rsidRPr="006F303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/>
          </w:rPr>
          <w:t>www.</w:t>
        </w:r>
        <w:r w:rsidRPr="00CC202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/>
          </w:rPr>
          <w:t>siauliufa.lt</w:t>
        </w:r>
      </w:hyperlink>
    </w:p>
    <w:p w14:paraId="1D7E02F5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7A4F7980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4020813B" w14:textId="77777777" w:rsidR="006F3038" w:rsidRPr="006F3038" w:rsidRDefault="006F3038" w:rsidP="006F3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F3038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</w:t>
      </w:r>
    </w:p>
    <w:p w14:paraId="3802E697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71C89704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77EC02DC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30B2AEEE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24313A44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60FCF126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66C7CF91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424E2E40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62A87441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30F6D106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108702CE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17219E95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0651AC3A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34E0EC46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0F039EBE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6FAF2C6D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235526D0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76091BE0" w14:textId="77777777" w:rsid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lt-LT"/>
        </w:rPr>
      </w:pPr>
    </w:p>
    <w:p w14:paraId="6C58E596" w14:textId="77777777" w:rsidR="006F3038" w:rsidRPr="006F3038" w:rsidRDefault="006F3038" w:rsidP="006F30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0E0E"/>
          <w:sz w:val="24"/>
          <w:szCs w:val="24"/>
          <w:lang w:val="lt-LT"/>
        </w:rPr>
      </w:pPr>
    </w:p>
    <w:p w14:paraId="2FB7A633" w14:textId="77777777" w:rsidR="006F3038" w:rsidRPr="006F3038" w:rsidRDefault="006F3038" w:rsidP="006F303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3C0EFD" w14:textId="77777777" w:rsidR="006F3038" w:rsidRDefault="006F3038"/>
    <w:p w14:paraId="0F4764F6" w14:textId="77777777" w:rsidR="006F3038" w:rsidRDefault="006F3038"/>
    <w:p w14:paraId="2A69C1DF" w14:textId="77777777" w:rsidR="006F3038" w:rsidRDefault="006F3038"/>
    <w:p w14:paraId="1E5A2492" w14:textId="77777777" w:rsidR="006F3038" w:rsidRDefault="006F3038" w:rsidP="006F3038">
      <w:pPr>
        <w:pStyle w:val="p1"/>
        <w:jc w:val="center"/>
        <w:rPr>
          <w:b/>
          <w:bCs/>
        </w:rPr>
        <w:sectPr w:rsidR="006F3038" w:rsidSect="006F30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22DFEC" w14:textId="30902382" w:rsidR="006F3038" w:rsidRDefault="006F3038" w:rsidP="006F3038">
      <w:pPr>
        <w:pStyle w:val="p1"/>
        <w:jc w:val="center"/>
      </w:pPr>
      <w:r>
        <w:rPr>
          <w:b/>
          <w:bCs/>
        </w:rPr>
        <w:lastRenderedPageBreak/>
        <w:t>VIEŠOSIOS ĮSTAIGOS FUTBOLO AKADEMIJOS „</w:t>
      </w:r>
      <w:proofErr w:type="gramStart"/>
      <w:r>
        <w:rPr>
          <w:b/>
          <w:bCs/>
        </w:rPr>
        <w:t>ŠIAULIAI“</w:t>
      </w:r>
      <w:proofErr w:type="gramEnd"/>
    </w:p>
    <w:p w14:paraId="69F523DE" w14:textId="3B8B9419" w:rsidR="006F3038" w:rsidRDefault="006F3038" w:rsidP="006F3038">
      <w:pPr>
        <w:pStyle w:val="p1"/>
        <w:jc w:val="center"/>
      </w:pPr>
      <w:r>
        <w:rPr>
          <w:b/>
          <w:bCs/>
        </w:rPr>
        <w:t>2026–2028 METŲ KORUPCIJOS PREVENCIJOS PROGRAMOS ĮGYVENDINIMO PRIEMONIŲ PLANAS</w:t>
      </w:r>
    </w:p>
    <w:p w14:paraId="35D9798E" w14:textId="77777777" w:rsidR="006F3038" w:rsidRDefault="006F3038"/>
    <w:p w14:paraId="799EC88E" w14:textId="77777777" w:rsidR="006F3038" w:rsidRDefault="006F3038"/>
    <w:tbl>
      <w:tblPr>
        <w:tblStyle w:val="TableGrid"/>
        <w:tblW w:w="128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62"/>
        <w:gridCol w:w="3264"/>
        <w:gridCol w:w="1620"/>
        <w:gridCol w:w="1350"/>
        <w:gridCol w:w="2250"/>
        <w:gridCol w:w="1890"/>
        <w:gridCol w:w="1710"/>
      </w:tblGrid>
      <w:tr w:rsidR="006F3038" w:rsidRPr="00362A15" w14:paraId="5112A8E5" w14:textId="77777777" w:rsidTr="006F3038">
        <w:trPr>
          <w:trHeight w:val="993"/>
        </w:trPr>
        <w:tc>
          <w:tcPr>
            <w:tcW w:w="762" w:type="dxa"/>
          </w:tcPr>
          <w:p w14:paraId="6BCCA422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264" w:type="dxa"/>
          </w:tcPr>
          <w:p w14:paraId="24C19A33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Priemonės pavadinimas</w:t>
            </w:r>
          </w:p>
        </w:tc>
        <w:tc>
          <w:tcPr>
            <w:tcW w:w="1620" w:type="dxa"/>
          </w:tcPr>
          <w:p w14:paraId="324554F2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Vykdymo laikas</w:t>
            </w:r>
          </w:p>
        </w:tc>
        <w:tc>
          <w:tcPr>
            <w:tcW w:w="1350" w:type="dxa"/>
          </w:tcPr>
          <w:p w14:paraId="28D88728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Vykdytojas/ atsakingas asmuo</w:t>
            </w:r>
          </w:p>
        </w:tc>
        <w:tc>
          <w:tcPr>
            <w:tcW w:w="2250" w:type="dxa"/>
          </w:tcPr>
          <w:p w14:paraId="5FB13339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Laukiamas rezultatas</w:t>
            </w:r>
          </w:p>
        </w:tc>
        <w:tc>
          <w:tcPr>
            <w:tcW w:w="1890" w:type="dxa"/>
          </w:tcPr>
          <w:p w14:paraId="2C06F464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Įgyvendinimo vertinimo kriterijai</w:t>
            </w:r>
          </w:p>
        </w:tc>
        <w:tc>
          <w:tcPr>
            <w:tcW w:w="1710" w:type="dxa"/>
          </w:tcPr>
          <w:p w14:paraId="21DA5C46" w14:textId="77777777" w:rsidR="006F3038" w:rsidRPr="00D42A94" w:rsidRDefault="006F3038" w:rsidP="00920E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Finansavimas</w:t>
            </w:r>
          </w:p>
        </w:tc>
      </w:tr>
      <w:tr w:rsidR="006F3038" w:rsidRPr="00362A15" w14:paraId="4EB67E06" w14:textId="77777777" w:rsidTr="006F3038">
        <w:trPr>
          <w:trHeight w:val="2438"/>
        </w:trPr>
        <w:tc>
          <w:tcPr>
            <w:tcW w:w="762" w:type="dxa"/>
          </w:tcPr>
          <w:p w14:paraId="53E62D43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4" w:type="dxa"/>
          </w:tcPr>
          <w:p w14:paraId="276834AB" w14:textId="5D0704AE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Supažindinti akademijos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bendruomenę su įstaigos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priimtais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dokumentais, susijusiais su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korupcijos prevencijos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programa ir priemonių planu jai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įgyvendinti per aktualios informacijos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atnaujinimą ir paskelbi akademijos</w:t>
            </w:r>
          </w:p>
          <w:p w14:paraId="16C2587D" w14:textId="77777777" w:rsid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 xml:space="preserve">interneto svetainėje </w:t>
            </w:r>
            <w:hyperlink r:id="rId5" w:history="1">
              <w:r w:rsidRPr="00CC2026">
                <w:rPr>
                  <w:rStyle w:val="Hyperlink"/>
                  <w:rFonts w:eastAsiaTheme="majorEastAsia"/>
                  <w:sz w:val="20"/>
                  <w:szCs w:val="20"/>
                  <w:lang w:val="lt-LT"/>
                </w:rPr>
                <w:t>www.siauliufa.lt</w:t>
              </w:r>
            </w:hyperlink>
            <w:r>
              <w:rPr>
                <w:rStyle w:val="s1"/>
                <w:rFonts w:eastAsiaTheme="majorEastAsia"/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skiltyje „Korupcijos prevencija“</w:t>
            </w:r>
            <w:r>
              <w:rPr>
                <w:sz w:val="20"/>
                <w:szCs w:val="20"/>
                <w:lang w:val="lt-LT"/>
              </w:rPr>
              <w:t>.</w:t>
            </w:r>
          </w:p>
          <w:p w14:paraId="40633589" w14:textId="2BA9024C" w:rsidR="006F3038" w:rsidRPr="00362A15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3909AC93" w14:textId="2902D095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Iki 2026-04-30 paskelbti dokumentus akademijos interneto svetainėje </w:t>
            </w:r>
          </w:p>
        </w:tc>
        <w:tc>
          <w:tcPr>
            <w:tcW w:w="1350" w:type="dxa"/>
          </w:tcPr>
          <w:p w14:paraId="432E5B25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</w:t>
            </w:r>
          </w:p>
        </w:tc>
        <w:tc>
          <w:tcPr>
            <w:tcW w:w="2250" w:type="dxa"/>
          </w:tcPr>
          <w:p w14:paraId="07A0F39E" w14:textId="3BC6D139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Darbuotojai ir bendruomenės nariai bus supažindinti su programa ir jos priemonių planu.</w:t>
            </w:r>
          </w:p>
        </w:tc>
        <w:tc>
          <w:tcPr>
            <w:tcW w:w="1890" w:type="dxa"/>
          </w:tcPr>
          <w:p w14:paraId="44AEB822" w14:textId="0C6FD73F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programa susipažinusių darbuotojų skaičius</w:t>
            </w:r>
          </w:p>
        </w:tc>
        <w:tc>
          <w:tcPr>
            <w:tcW w:w="1710" w:type="dxa"/>
          </w:tcPr>
          <w:p w14:paraId="7DDAD1FB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362A15" w14:paraId="6D65C2BA" w14:textId="77777777" w:rsidTr="006F3038">
        <w:trPr>
          <w:trHeight w:val="1730"/>
        </w:trPr>
        <w:tc>
          <w:tcPr>
            <w:tcW w:w="762" w:type="dxa"/>
          </w:tcPr>
          <w:p w14:paraId="0F449615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4" w:type="dxa"/>
          </w:tcPr>
          <w:p w14:paraId="553E4EA4" w14:textId="7F56B81C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Dalyvauti mokymuose ir seminaruose korupcijos prevencijos skatinimo klausimais.</w:t>
            </w:r>
          </w:p>
        </w:tc>
        <w:tc>
          <w:tcPr>
            <w:tcW w:w="1620" w:type="dxa"/>
          </w:tcPr>
          <w:p w14:paraId="525BBE19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</w:p>
        </w:tc>
        <w:tc>
          <w:tcPr>
            <w:tcW w:w="1350" w:type="dxa"/>
          </w:tcPr>
          <w:p w14:paraId="24989ABA" w14:textId="36380C6C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smuo atsakingas už korupcijos prevenciją</w:t>
            </w:r>
          </w:p>
        </w:tc>
        <w:tc>
          <w:tcPr>
            <w:tcW w:w="2250" w:type="dxa"/>
          </w:tcPr>
          <w:p w14:paraId="4DAA664B" w14:textId="0E65DEB4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Darbuotojai turės daugiau žinių susijusių su korupcijos prevencijos priemonėmis.</w:t>
            </w:r>
          </w:p>
        </w:tc>
        <w:tc>
          <w:tcPr>
            <w:tcW w:w="1890" w:type="dxa"/>
          </w:tcPr>
          <w:p w14:paraId="1D232ADB" w14:textId="5901EE1B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Dalyvių skaičius</w:t>
            </w:r>
          </w:p>
        </w:tc>
        <w:tc>
          <w:tcPr>
            <w:tcW w:w="1710" w:type="dxa"/>
          </w:tcPr>
          <w:p w14:paraId="692FE4B4" w14:textId="3259C8CB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Biudžeto lėšos</w:t>
            </w:r>
          </w:p>
        </w:tc>
      </w:tr>
      <w:tr w:rsidR="006F3038" w:rsidRPr="00362A15" w14:paraId="42A09ADF" w14:textId="77777777" w:rsidTr="006F3038">
        <w:trPr>
          <w:trHeight w:val="1233"/>
        </w:trPr>
        <w:tc>
          <w:tcPr>
            <w:tcW w:w="762" w:type="dxa"/>
          </w:tcPr>
          <w:p w14:paraId="52589D0C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3264" w:type="dxa"/>
          </w:tcPr>
          <w:p w14:paraId="7750339E" w14:textId="1FB4A502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Kontroliuoti ir koordinuoti akademijos korupcijos prevencijos programos įgyvendinimą, prireikus teikti pasiūlymus vadovui dėl jos tikslinimo. Apibendrinti</w:t>
            </w:r>
          </w:p>
          <w:p w14:paraId="2C8DBF62" w14:textId="1B9CD295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akademijos veiklą, įgyvendinant įstaigos korupcijos prevencijos programą.</w:t>
            </w:r>
          </w:p>
        </w:tc>
        <w:tc>
          <w:tcPr>
            <w:tcW w:w="1620" w:type="dxa"/>
          </w:tcPr>
          <w:p w14:paraId="54F3ED44" w14:textId="5BF43D12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 kartą per metus </w:t>
            </w:r>
          </w:p>
        </w:tc>
        <w:tc>
          <w:tcPr>
            <w:tcW w:w="1350" w:type="dxa"/>
          </w:tcPr>
          <w:p w14:paraId="2CE21B4D" w14:textId="05ACE22A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atsakingas už korupcijos prevenciją ir kontrolės vykdymą</w:t>
            </w:r>
          </w:p>
        </w:tc>
        <w:tc>
          <w:tcPr>
            <w:tcW w:w="2250" w:type="dxa"/>
          </w:tcPr>
          <w:p w14:paraId="0B6D0DAD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Savalaikė priemonių</w:t>
            </w:r>
          </w:p>
          <w:p w14:paraId="3054408A" w14:textId="2D77BA5A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vykdymo kontrolė užtikrins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priemonių vykdymą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nustatytais terminais.</w:t>
            </w:r>
          </w:p>
          <w:p w14:paraId="61139409" w14:textId="7F26B7FB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</w:tcPr>
          <w:p w14:paraId="47230F16" w14:textId="172DBF1B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Ataskaitų skaičius </w:t>
            </w:r>
          </w:p>
        </w:tc>
        <w:tc>
          <w:tcPr>
            <w:tcW w:w="1710" w:type="dxa"/>
          </w:tcPr>
          <w:p w14:paraId="27069576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362A15" w14:paraId="00D32B49" w14:textId="77777777" w:rsidTr="006F3038">
        <w:trPr>
          <w:trHeight w:val="144"/>
        </w:trPr>
        <w:tc>
          <w:tcPr>
            <w:tcW w:w="762" w:type="dxa"/>
          </w:tcPr>
          <w:p w14:paraId="12801B69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3264" w:type="dxa"/>
          </w:tcPr>
          <w:p w14:paraId="703C4C0D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Nustatyti korupcijos pasireiškimo</w:t>
            </w:r>
          </w:p>
          <w:p w14:paraId="543E7CDE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tikimybę Lietuvos Respublikos</w:t>
            </w:r>
          </w:p>
          <w:p w14:paraId="7C492AEF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teisės aktų nustatyta tvarka.</w:t>
            </w:r>
          </w:p>
          <w:p w14:paraId="57A83E2B" w14:textId="6534E8C2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6C65EC35" w14:textId="27A45ED3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kartą per metus</w:t>
            </w:r>
          </w:p>
        </w:tc>
        <w:tc>
          <w:tcPr>
            <w:tcW w:w="1350" w:type="dxa"/>
          </w:tcPr>
          <w:p w14:paraId="1D239F5F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Asmuo atsakingas už korupcijos </w:t>
            </w: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prevenciją ir kontrolės vykdymą</w:t>
            </w:r>
          </w:p>
        </w:tc>
        <w:tc>
          <w:tcPr>
            <w:tcW w:w="2250" w:type="dxa"/>
          </w:tcPr>
          <w:p w14:paraId="38C37D62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Bus nustatyta korupcijos</w:t>
            </w:r>
          </w:p>
          <w:p w14:paraId="2FB054E2" w14:textId="07F90DB3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pasireiškimo tikimybė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akademijos veiklos srityse,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 xml:space="preserve">suformuota </w:t>
            </w:r>
            <w:r w:rsidRPr="006F3038">
              <w:rPr>
                <w:sz w:val="20"/>
                <w:szCs w:val="20"/>
                <w:lang w:val="lt-LT"/>
              </w:rPr>
              <w:lastRenderedPageBreak/>
              <w:t>motyvuota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išvada dėl korupcijos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pasireiškimo tikimybės ir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pateikta akademijos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direktor</w:t>
            </w:r>
            <w:r>
              <w:rPr>
                <w:sz w:val="20"/>
                <w:szCs w:val="20"/>
                <w:lang w:val="lt-LT"/>
              </w:rPr>
              <w:t>iui</w:t>
            </w:r>
            <w:r w:rsidRPr="006F3038">
              <w:rPr>
                <w:sz w:val="20"/>
                <w:szCs w:val="20"/>
                <w:lang w:val="lt-LT"/>
              </w:rPr>
              <w:t>.</w:t>
            </w:r>
          </w:p>
          <w:p w14:paraId="457F3B2A" w14:textId="760D55F6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</w:tcPr>
          <w:p w14:paraId="53FA9C67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Motyvuotą išvada,</w:t>
            </w:r>
          </w:p>
          <w:p w14:paraId="45C9DEAA" w14:textId="20392BDE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</w:t>
            </w:r>
            <w:r w:rsidRPr="006F3038">
              <w:rPr>
                <w:sz w:val="20"/>
                <w:szCs w:val="20"/>
                <w:lang w:val="lt-LT"/>
              </w:rPr>
              <w:t>umatytos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priemonės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galimoms</w:t>
            </w:r>
          </w:p>
          <w:p w14:paraId="1F9ED605" w14:textId="67867225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Korupcijos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apraiškoms šalinti</w:t>
            </w:r>
          </w:p>
          <w:p w14:paraId="2B854D04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arba sumažinti.</w:t>
            </w:r>
          </w:p>
          <w:p w14:paraId="3D0D8AA8" w14:textId="53B8BD80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10" w:type="dxa"/>
          </w:tcPr>
          <w:p w14:paraId="4B8D250C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Nereikalingas</w:t>
            </w:r>
          </w:p>
        </w:tc>
      </w:tr>
      <w:tr w:rsidR="006F3038" w:rsidRPr="00362A15" w14:paraId="063AFB2C" w14:textId="77777777" w:rsidTr="006F3038">
        <w:trPr>
          <w:trHeight w:val="144"/>
        </w:trPr>
        <w:tc>
          <w:tcPr>
            <w:tcW w:w="762" w:type="dxa"/>
          </w:tcPr>
          <w:p w14:paraId="471DD4B8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3264" w:type="dxa"/>
          </w:tcPr>
          <w:p w14:paraId="5E76704E" w14:textId="594B029F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Atlikti korupcijos rizikos analizę ir korupcijos rizikos valdymo vertinimą Lietuvos Respublikos teisės aktų nustatyta tvarka </w:t>
            </w:r>
          </w:p>
        </w:tc>
        <w:tc>
          <w:tcPr>
            <w:tcW w:w="1620" w:type="dxa"/>
          </w:tcPr>
          <w:p w14:paraId="00BF5BE6" w14:textId="3B28D929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kartą per metus</w:t>
            </w:r>
          </w:p>
        </w:tc>
        <w:tc>
          <w:tcPr>
            <w:tcW w:w="1350" w:type="dxa"/>
          </w:tcPr>
          <w:p w14:paraId="483527D3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atsakingas už korupcijos prevencijos ir kontrolės vykdymą</w:t>
            </w:r>
          </w:p>
        </w:tc>
        <w:tc>
          <w:tcPr>
            <w:tcW w:w="2250" w:type="dxa"/>
          </w:tcPr>
          <w:p w14:paraId="1A988D31" w14:textId="687A1CE9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Nustačius korupcijos riziką ir ją įvertinus futbolo akademija galės efektyviau mažinti rizikos veiksnius ir pasiekti norimų rezultatų.</w:t>
            </w:r>
          </w:p>
        </w:tc>
        <w:tc>
          <w:tcPr>
            <w:tcW w:w="1890" w:type="dxa"/>
          </w:tcPr>
          <w:p w14:paraId="696D48B2" w14:textId="670A8AFD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Vertinimo ataskaita</w:t>
            </w:r>
          </w:p>
        </w:tc>
        <w:tc>
          <w:tcPr>
            <w:tcW w:w="1710" w:type="dxa"/>
          </w:tcPr>
          <w:p w14:paraId="208AC1D6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362A15" w14:paraId="513D60D2" w14:textId="77777777" w:rsidTr="006F3038">
        <w:trPr>
          <w:trHeight w:val="144"/>
        </w:trPr>
        <w:tc>
          <w:tcPr>
            <w:tcW w:w="762" w:type="dxa"/>
          </w:tcPr>
          <w:p w14:paraId="29A3AC4B" w14:textId="393A4926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3264" w:type="dxa"/>
          </w:tcPr>
          <w:p w14:paraId="07158AB2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Priimant į darbą vadovautis teisės aktais, atsižvelgiant į kvalifikaciją, pateiktas rekomendacijas, kandidatų nepriekaištingą reputaciją.</w:t>
            </w:r>
          </w:p>
        </w:tc>
        <w:tc>
          <w:tcPr>
            <w:tcW w:w="1620" w:type="dxa"/>
          </w:tcPr>
          <w:p w14:paraId="60769326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Nuolat</w:t>
            </w:r>
          </w:p>
        </w:tc>
        <w:tc>
          <w:tcPr>
            <w:tcW w:w="1350" w:type="dxa"/>
          </w:tcPr>
          <w:p w14:paraId="3FF7F365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administracija, asmuo atsakingas už korupcijos prevencijos ir kontrolės vykdymą</w:t>
            </w:r>
          </w:p>
        </w:tc>
        <w:tc>
          <w:tcPr>
            <w:tcW w:w="2250" w:type="dxa"/>
          </w:tcPr>
          <w:p w14:paraId="2E810455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Futbolo akademijoje „Šiauliai“ dirbs tie asmenys, kurie turi nepriekaištingą reputaciją ir tinkamą išsilavinimą</w:t>
            </w:r>
          </w:p>
        </w:tc>
        <w:tc>
          <w:tcPr>
            <w:tcW w:w="1890" w:type="dxa"/>
          </w:tcPr>
          <w:p w14:paraId="269002DA" w14:textId="2C4ACF6A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Teisėto darbo su vaikais „QR kodo“ registras, SST teikiama informacija</w:t>
            </w:r>
          </w:p>
        </w:tc>
        <w:tc>
          <w:tcPr>
            <w:tcW w:w="1710" w:type="dxa"/>
          </w:tcPr>
          <w:p w14:paraId="7DCA3417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6F3038" w14:paraId="65815196" w14:textId="77777777" w:rsidTr="006F3038">
        <w:trPr>
          <w:trHeight w:val="1043"/>
        </w:trPr>
        <w:tc>
          <w:tcPr>
            <w:tcW w:w="762" w:type="dxa"/>
          </w:tcPr>
          <w:p w14:paraId="2EAEC3FF" w14:textId="20546E4C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4" w:type="dxa"/>
          </w:tcPr>
          <w:p w14:paraId="0372A668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Informuoti akademijos bendruomenę</w:t>
            </w:r>
          </w:p>
          <w:p w14:paraId="60668E0A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apie įstaigos ugdomąją, finansinę ir</w:t>
            </w:r>
          </w:p>
          <w:p w14:paraId="5964008E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ūkinę veiklą.</w:t>
            </w:r>
          </w:p>
          <w:p w14:paraId="01A1E994" w14:textId="5949E8BE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3B8A815F" w14:textId="2499167D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pagal poreikį</w:t>
            </w:r>
          </w:p>
        </w:tc>
        <w:tc>
          <w:tcPr>
            <w:tcW w:w="1350" w:type="dxa"/>
          </w:tcPr>
          <w:p w14:paraId="4B91F29A" w14:textId="4DB3F73D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</w:t>
            </w:r>
          </w:p>
        </w:tc>
        <w:tc>
          <w:tcPr>
            <w:tcW w:w="2250" w:type="dxa"/>
          </w:tcPr>
          <w:p w14:paraId="1C8F2CFA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Akademijos darbuotojai</w:t>
            </w:r>
          </w:p>
          <w:p w14:paraId="3BBD3342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žino informaciją apie</w:t>
            </w:r>
          </w:p>
          <w:p w14:paraId="64644CE8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įstaigos veiklą</w:t>
            </w:r>
          </w:p>
          <w:p w14:paraId="7133B9D7" w14:textId="469350CA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</w:tcPr>
          <w:p w14:paraId="51702DBE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Dalininkų</w:t>
            </w:r>
          </w:p>
          <w:p w14:paraId="5797AE69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susirinkimų</w:t>
            </w:r>
          </w:p>
          <w:p w14:paraId="710ACA8F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protokolų analizė,</w:t>
            </w:r>
          </w:p>
          <w:p w14:paraId="4609B6AD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audito išvados</w:t>
            </w:r>
          </w:p>
          <w:p w14:paraId="686D739A" w14:textId="13F24C92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10" w:type="dxa"/>
          </w:tcPr>
          <w:p w14:paraId="49F8B695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362A15" w14:paraId="58F2BF24" w14:textId="77777777" w:rsidTr="006F3038">
        <w:trPr>
          <w:trHeight w:val="144"/>
        </w:trPr>
        <w:tc>
          <w:tcPr>
            <w:tcW w:w="762" w:type="dxa"/>
          </w:tcPr>
          <w:p w14:paraId="309334D8" w14:textId="4F4ABBB5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3264" w:type="dxa"/>
          </w:tcPr>
          <w:p w14:paraId="1A5F0396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Viešai skelbti informaciją apie viešuosius pirkimus</w:t>
            </w:r>
          </w:p>
        </w:tc>
        <w:tc>
          <w:tcPr>
            <w:tcW w:w="1620" w:type="dxa"/>
          </w:tcPr>
          <w:p w14:paraId="4A193F0C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Nuolat</w:t>
            </w:r>
          </w:p>
        </w:tc>
        <w:tc>
          <w:tcPr>
            <w:tcW w:w="1350" w:type="dxa"/>
          </w:tcPr>
          <w:p w14:paraId="459499FB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atsakingas už viešuosius pirkimus</w:t>
            </w:r>
          </w:p>
        </w:tc>
        <w:tc>
          <w:tcPr>
            <w:tcW w:w="2250" w:type="dxa"/>
          </w:tcPr>
          <w:p w14:paraId="7A68946C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Užtikrinamas viešumas</w:t>
            </w:r>
          </w:p>
        </w:tc>
        <w:tc>
          <w:tcPr>
            <w:tcW w:w="1890" w:type="dxa"/>
          </w:tcPr>
          <w:p w14:paraId="1912EF18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Nėra fiksuotų</w:t>
            </w:r>
          </w:p>
          <w:p w14:paraId="066B28F0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teisinių</w:t>
            </w:r>
          </w:p>
          <w:p w14:paraId="580E4206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nusižengimų</w:t>
            </w:r>
          </w:p>
          <w:p w14:paraId="3607BAEB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vykdant viešuosius</w:t>
            </w:r>
          </w:p>
          <w:p w14:paraId="619AA1EF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pirkimus.</w:t>
            </w:r>
          </w:p>
          <w:p w14:paraId="0443427E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Visuomenė</w:t>
            </w:r>
          </w:p>
          <w:p w14:paraId="235A8822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informuota apie</w:t>
            </w:r>
          </w:p>
          <w:p w14:paraId="63254835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planuojamus ir</w:t>
            </w:r>
          </w:p>
          <w:p w14:paraId="284FFA83" w14:textId="77777777" w:rsidR="006F3038" w:rsidRPr="006F3038" w:rsidRDefault="006F3038" w:rsidP="00920EFE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įvykdytus pirkimus</w:t>
            </w:r>
          </w:p>
          <w:p w14:paraId="1F4A4497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10" w:type="dxa"/>
          </w:tcPr>
          <w:p w14:paraId="7F3615E4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6F3038" w:rsidRPr="00362A15" w14:paraId="67BA31BE" w14:textId="77777777" w:rsidTr="006F3038">
        <w:trPr>
          <w:trHeight w:val="144"/>
        </w:trPr>
        <w:tc>
          <w:tcPr>
            <w:tcW w:w="762" w:type="dxa"/>
          </w:tcPr>
          <w:p w14:paraId="17EC9D5F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3264" w:type="dxa"/>
          </w:tcPr>
          <w:p w14:paraId="538242A1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Akademijos interneto svetainėje ir</w:t>
            </w:r>
          </w:p>
          <w:p w14:paraId="22925149" w14:textId="0DE945A3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įstaigos patalpose sudaryti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galimybes pateikti anonimines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 xml:space="preserve">anketas apie </w:t>
            </w:r>
            <w:r w:rsidRPr="006F3038">
              <w:rPr>
                <w:sz w:val="20"/>
                <w:szCs w:val="20"/>
                <w:lang w:val="lt-LT"/>
              </w:rPr>
              <w:lastRenderedPageBreak/>
              <w:t>suteiktų paslaugų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kokybę,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aptarnavimo kultūrą bei</w:t>
            </w:r>
            <w:r>
              <w:rPr>
                <w:sz w:val="20"/>
                <w:szCs w:val="20"/>
                <w:lang w:val="lt-LT"/>
              </w:rPr>
              <w:t xml:space="preserve"> g</w:t>
            </w:r>
            <w:r w:rsidRPr="006F3038">
              <w:rPr>
                <w:sz w:val="20"/>
                <w:szCs w:val="20"/>
                <w:lang w:val="lt-LT"/>
              </w:rPr>
              <w:t>alimas korupcinio pobūdžio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apraiškas akademijoje.</w:t>
            </w:r>
          </w:p>
          <w:p w14:paraId="6B5DF371" w14:textId="7280D542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20" w:type="dxa"/>
          </w:tcPr>
          <w:p w14:paraId="0E511D28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Kasmet</w:t>
            </w:r>
          </w:p>
        </w:tc>
        <w:tc>
          <w:tcPr>
            <w:tcW w:w="1350" w:type="dxa"/>
          </w:tcPr>
          <w:p w14:paraId="58D8389C" w14:textId="213D2B39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smuo atsakingas už korupcijos </w:t>
            </w: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prevencijos ir kontrolės vykdymą</w:t>
            </w:r>
          </w:p>
        </w:tc>
        <w:tc>
          <w:tcPr>
            <w:tcW w:w="2250" w:type="dxa"/>
          </w:tcPr>
          <w:p w14:paraId="73F4C822" w14:textId="6217163E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Bus nustatytas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korupcijos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pasireiškimo tikimybės</w:t>
            </w:r>
            <w:r>
              <w:rPr>
                <w:sz w:val="20"/>
                <w:szCs w:val="20"/>
                <w:lang w:val="lt-LT"/>
              </w:rPr>
              <w:t xml:space="preserve"> l</w:t>
            </w:r>
            <w:r w:rsidRPr="006F3038">
              <w:rPr>
                <w:sz w:val="20"/>
                <w:szCs w:val="20"/>
                <w:lang w:val="lt-LT"/>
              </w:rPr>
              <w:t>ygis,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lastRenderedPageBreak/>
              <w:t>įvertintos veiklos sritys,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kuriose egzistuoja didžiausia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korupcijos pasireiškimo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6F3038">
              <w:rPr>
                <w:sz w:val="20"/>
                <w:szCs w:val="20"/>
                <w:lang w:val="lt-LT"/>
              </w:rPr>
              <w:t>tikimybė</w:t>
            </w:r>
            <w:r>
              <w:rPr>
                <w:sz w:val="20"/>
                <w:szCs w:val="20"/>
                <w:lang w:val="lt-LT"/>
              </w:rPr>
              <w:t>.</w:t>
            </w:r>
          </w:p>
          <w:p w14:paraId="02DC1EF2" w14:textId="600BC9C1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890" w:type="dxa"/>
          </w:tcPr>
          <w:p w14:paraId="4775C4AF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Atliktų apklausų</w:t>
            </w:r>
          </w:p>
          <w:p w14:paraId="0C074252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skaičius. Parengta</w:t>
            </w:r>
          </w:p>
          <w:p w14:paraId="0D8807FA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apklausos rezultatų</w:t>
            </w:r>
          </w:p>
          <w:p w14:paraId="36A6C089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lastRenderedPageBreak/>
              <w:t>analizės ataskaita.</w:t>
            </w:r>
          </w:p>
          <w:p w14:paraId="363522E2" w14:textId="77777777" w:rsidR="006F3038" w:rsidRPr="006F3038" w:rsidRDefault="006F3038" w:rsidP="006F3038">
            <w:pPr>
              <w:pStyle w:val="p1"/>
              <w:rPr>
                <w:sz w:val="20"/>
                <w:szCs w:val="20"/>
                <w:lang w:val="lt-LT"/>
              </w:rPr>
            </w:pPr>
            <w:r w:rsidRPr="006F3038">
              <w:rPr>
                <w:sz w:val="20"/>
                <w:szCs w:val="20"/>
                <w:lang w:val="lt-LT"/>
              </w:rPr>
              <w:t>Paviešinti rezultatai</w:t>
            </w:r>
            <w:r w:rsidRPr="006F3038">
              <w:rPr>
                <w:rStyle w:val="apple-converted-space"/>
                <w:rFonts w:eastAsiaTheme="majorEastAsia"/>
                <w:sz w:val="20"/>
                <w:szCs w:val="20"/>
                <w:lang w:val="lt-LT"/>
              </w:rPr>
              <w:t> </w:t>
            </w:r>
          </w:p>
          <w:p w14:paraId="519BEC3A" w14:textId="24B4CEFF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10" w:type="dxa"/>
          </w:tcPr>
          <w:p w14:paraId="65C23D65" w14:textId="77777777" w:rsidR="006F3038" w:rsidRPr="006F3038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F303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Nereikalingas</w:t>
            </w:r>
          </w:p>
        </w:tc>
      </w:tr>
      <w:tr w:rsidR="006F3038" w:rsidRPr="00362A15" w14:paraId="791CAF61" w14:textId="77777777" w:rsidTr="006F3038">
        <w:trPr>
          <w:trHeight w:val="1971"/>
        </w:trPr>
        <w:tc>
          <w:tcPr>
            <w:tcW w:w="762" w:type="dxa"/>
          </w:tcPr>
          <w:p w14:paraId="21CFCBE1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10.</w:t>
            </w:r>
          </w:p>
        </w:tc>
        <w:tc>
          <w:tcPr>
            <w:tcW w:w="3264" w:type="dxa"/>
          </w:tcPr>
          <w:p w14:paraId="3BCD2DA9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Gautų pranešimų apie korupciją analizė</w:t>
            </w:r>
          </w:p>
        </w:tc>
        <w:tc>
          <w:tcPr>
            <w:tcW w:w="1620" w:type="dxa"/>
          </w:tcPr>
          <w:p w14:paraId="495D8BB4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Pagal pranešimus, esant skundui</w:t>
            </w:r>
          </w:p>
        </w:tc>
        <w:tc>
          <w:tcPr>
            <w:tcW w:w="1350" w:type="dxa"/>
          </w:tcPr>
          <w:p w14:paraId="24C55408" w14:textId="2990ED83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smuo atsakingas už korupcijos prevencijos ir kontrolės vykdymą</w:t>
            </w:r>
          </w:p>
        </w:tc>
        <w:tc>
          <w:tcPr>
            <w:tcW w:w="2250" w:type="dxa"/>
          </w:tcPr>
          <w:p w14:paraId="3A169993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Nesitaikymas su galimais pažeidimais. Padidėjęs bendras pasitikėjimas įstaigos veikla</w:t>
            </w:r>
          </w:p>
        </w:tc>
        <w:tc>
          <w:tcPr>
            <w:tcW w:w="1890" w:type="dxa"/>
          </w:tcPr>
          <w:p w14:paraId="100E739F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Gautų pranešimų skaičius </w:t>
            </w:r>
          </w:p>
        </w:tc>
        <w:tc>
          <w:tcPr>
            <w:tcW w:w="1710" w:type="dxa"/>
          </w:tcPr>
          <w:p w14:paraId="15765EB9" w14:textId="77777777" w:rsidR="006F3038" w:rsidRPr="00362A15" w:rsidRDefault="006F3038" w:rsidP="00920EF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</w:tbl>
    <w:p w14:paraId="2081B32F" w14:textId="77777777" w:rsidR="006F3038" w:rsidRDefault="006F3038"/>
    <w:sectPr w:rsidR="006F3038" w:rsidSect="006F30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38"/>
    <w:rsid w:val="002C1FC6"/>
    <w:rsid w:val="00456AAB"/>
    <w:rsid w:val="0051046B"/>
    <w:rsid w:val="006F3038"/>
    <w:rsid w:val="00963A5F"/>
    <w:rsid w:val="0096576E"/>
    <w:rsid w:val="00BC4CD1"/>
    <w:rsid w:val="00E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C6FE4"/>
  <w15:chartTrackingRefBased/>
  <w15:docId w15:val="{8D3C5959-8794-6D42-950C-7EE98B1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0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0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0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0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0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0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03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03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0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0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3038"/>
    <w:rPr>
      <w:color w:val="467886" w:themeColor="hyperlink"/>
      <w:u w:val="single"/>
    </w:rPr>
  </w:style>
  <w:style w:type="paragraph" w:customStyle="1" w:styleId="p1">
    <w:name w:val="p1"/>
    <w:basedOn w:val="Normal"/>
    <w:rsid w:val="006F303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6F3038"/>
    <w:rPr>
      <w:rFonts w:ascii="Times New Roman" w:hAnsi="Times New Roman" w:cs="Times New Roman" w:hint="default"/>
      <w:sz w:val="17"/>
      <w:szCs w:val="17"/>
    </w:rPr>
  </w:style>
  <w:style w:type="paragraph" w:customStyle="1" w:styleId="p2">
    <w:name w:val="p2"/>
    <w:basedOn w:val="Normal"/>
    <w:rsid w:val="006F3038"/>
    <w:pPr>
      <w:spacing w:after="0" w:line="240" w:lineRule="auto"/>
    </w:pPr>
    <w:rPr>
      <w:rFonts w:ascii="Times New Roman" w:eastAsia="Times New Roman" w:hAnsi="Times New Roman" w:cs="Times New Roman"/>
      <w:color w:val="0E0E0E"/>
      <w:sz w:val="18"/>
      <w:szCs w:val="18"/>
    </w:rPr>
  </w:style>
  <w:style w:type="character" w:customStyle="1" w:styleId="s2">
    <w:name w:val="s2"/>
    <w:basedOn w:val="DefaultParagraphFont"/>
    <w:rsid w:val="006F3038"/>
    <w:rPr>
      <w:rFonts w:ascii="Times New Roman" w:hAnsi="Times New Roman" w:cs="Times New Roman" w:hint="default"/>
      <w:sz w:val="17"/>
      <w:szCs w:val="17"/>
    </w:rPr>
  </w:style>
  <w:style w:type="character" w:customStyle="1" w:styleId="s3">
    <w:name w:val="s3"/>
    <w:basedOn w:val="DefaultParagraphFont"/>
    <w:rsid w:val="006F3038"/>
    <w:rPr>
      <w:color w:val="0E0E0E"/>
    </w:rPr>
  </w:style>
  <w:style w:type="character" w:customStyle="1" w:styleId="s4">
    <w:name w:val="s4"/>
    <w:basedOn w:val="DefaultParagraphFont"/>
    <w:rsid w:val="006F3038"/>
    <w:rPr>
      <w:color w:val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6F303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F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auliufa.lt" TargetMode="External"/><Relationship Id="rId4" Type="http://schemas.openxmlformats.org/officeDocument/2006/relationships/hyperlink" Target="http://www.siauliuf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Lukjančukė</dc:creator>
  <cp:keywords/>
  <dc:description/>
  <cp:lastModifiedBy>Greta Lukjančukė</cp:lastModifiedBy>
  <cp:revision>2</cp:revision>
  <dcterms:created xsi:type="dcterms:W3CDTF">2026-03-18T11:11:00Z</dcterms:created>
  <dcterms:modified xsi:type="dcterms:W3CDTF">2026-03-26T08:06:00Z</dcterms:modified>
</cp:coreProperties>
</file>