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5C69" w14:textId="77777777" w:rsidR="004A3532" w:rsidRDefault="004A3532" w:rsidP="004A3532">
      <w:pPr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p w14:paraId="2FBFB61A" w14:textId="77777777" w:rsidR="004A3532" w:rsidRDefault="004A3532" w:rsidP="004A3532">
      <w:pPr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p w14:paraId="3A8E3179" w14:textId="01E0FFBD" w:rsidR="004A3532" w:rsidRDefault="004A3532" w:rsidP="004A353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bookmarkStart w:id="0" w:name="OLE_LINK25"/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Korupcijos pasireiškimo tikimybės nustatymo išvada</w:t>
      </w:r>
    </w:p>
    <w:bookmarkEnd w:id="0"/>
    <w:p w14:paraId="757F989B" w14:textId="7B032C86" w:rsidR="004A3532" w:rsidRDefault="004A3532" w:rsidP="004A35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2026-03-25 Nr. KP-1</w:t>
      </w:r>
    </w:p>
    <w:p w14:paraId="1EE28E56" w14:textId="3A8C767C" w:rsidR="004A3532" w:rsidRPr="004A3532" w:rsidRDefault="004A3532" w:rsidP="004A3532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Šiauliai</w:t>
      </w:r>
    </w:p>
    <w:p w14:paraId="37E556EC" w14:textId="77777777" w:rsidR="004A3532" w:rsidRDefault="004A3532">
      <w:pPr>
        <w:rPr>
          <w:rFonts w:ascii="Times New Roman" w:hAnsi="Times New Roman" w:cs="Times New Roman"/>
          <w:sz w:val="20"/>
          <w:szCs w:val="20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0"/>
        <w:gridCol w:w="6430"/>
      </w:tblGrid>
      <w:tr w:rsidR="004A3532" w:rsidRPr="004A3532" w14:paraId="67589D1C" w14:textId="77777777" w:rsidTr="004A3532">
        <w:tc>
          <w:tcPr>
            <w:tcW w:w="2920" w:type="dxa"/>
          </w:tcPr>
          <w:p w14:paraId="2AC03F19" w14:textId="77777777" w:rsidR="004A3532" w:rsidRPr="004A3532" w:rsidRDefault="004A3532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A35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1. Viešojo sektoriaus subjektas, kuriame atliktas KPT nustatymas</w:t>
            </w: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(veiklos sritis (-</w:t>
            </w:r>
            <w:proofErr w:type="spellStart"/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ys</w:t>
            </w:r>
            <w:proofErr w:type="spellEnd"/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), kurioje (-</w:t>
            </w:r>
            <w:proofErr w:type="spellStart"/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iose</w:t>
            </w:r>
            <w:proofErr w:type="spellEnd"/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) buvo atliekamas korupcijos pasireiškimo tikimybės nustatymas, jos (-ų) trumpas aprašymas).</w:t>
            </w:r>
          </w:p>
        </w:tc>
        <w:tc>
          <w:tcPr>
            <w:tcW w:w="6430" w:type="dxa"/>
          </w:tcPr>
          <w:p w14:paraId="29FD8822" w14:textId="77777777" w:rsidR="004A3532" w:rsidRPr="004A3532" w:rsidRDefault="004A3532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Korupcijos pasireiškimo tikimybės nustatymas (toliau - KPT)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buvo atliekamas </w:t>
            </w: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futbolo akademijoje „Šiauliai“ (toliau- Futbolo akademija) </w:t>
            </w: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šiose veiklos srityse: </w:t>
            </w:r>
          </w:p>
          <w:p w14:paraId="12F0AABC" w14:textId="25A16D8F" w:rsidR="004A3532" w:rsidRPr="004A3532" w:rsidRDefault="004A3532" w:rsidP="004A353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Personalo valdymo ( specialistų atrankos, mokymų ir kvalifikacijos kėlimo sritys).</w:t>
            </w:r>
          </w:p>
          <w:p w14:paraId="17EDA7BE" w14:textId="1CA159FF" w:rsidR="004A3532" w:rsidRPr="004A3532" w:rsidRDefault="004A3532" w:rsidP="004A353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Komunikacij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os</w:t>
            </w: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ir rinkodar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os</w:t>
            </w: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  <w:p w14:paraId="6F97E674" w14:textId="117EE1F5" w:rsidR="004A3532" w:rsidRPr="004A3532" w:rsidRDefault="004A3532" w:rsidP="004A353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Infrastruktūros valdym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</w:t>
            </w: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. </w:t>
            </w:r>
          </w:p>
          <w:p w14:paraId="2C417CAC" w14:textId="6ED4CF2E" w:rsidR="004A3532" w:rsidRPr="004A3532" w:rsidRDefault="004A3532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Atliekant KPT nustatymą, siekiama identifikuoti Futbolo akademijoje aktualias rizikas. Šiuo tikslu buvo analizuojami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2024-2025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metų informacija. KPT nustatymo metu surinkti ir išanalizuoti duomenys pagal darbuotojų tolerancijos korupcijos lygiui nustatymo anketos duomenis. Atlikus KPT nustatymą sudarytas Futbolo akademijos korupcijos rizikų ir jų veiksnių sąrašas</w:t>
            </w:r>
          </w:p>
        </w:tc>
      </w:tr>
      <w:tr w:rsidR="004A3532" w:rsidRPr="004A3532" w14:paraId="706ED80F" w14:textId="77777777" w:rsidTr="004A3532">
        <w:tc>
          <w:tcPr>
            <w:tcW w:w="2920" w:type="dxa"/>
          </w:tcPr>
          <w:p w14:paraId="4D903814" w14:textId="77777777" w:rsidR="004A3532" w:rsidRPr="004A3532" w:rsidRDefault="004A3532" w:rsidP="00920E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4A35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2. Asmenys (subjektai), atlikę viešojo sektoriaus subjekto KPT nustatymą</w:t>
            </w:r>
          </w:p>
        </w:tc>
        <w:tc>
          <w:tcPr>
            <w:tcW w:w="6430" w:type="dxa"/>
          </w:tcPr>
          <w:p w14:paraId="30C4293D" w14:textId="0917ACBC" w:rsidR="004A3532" w:rsidRPr="004A3532" w:rsidRDefault="004A3532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Direktoriaus pavaduotoja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bendriesiems reikalams Greta Lukjančukė </w:t>
            </w: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atsakinga už korupcijai atsparios aplinkos kūrimą ir užtikrinanti Lietuvos Respublikos korupcijos prevencijos įstatymo nuostatų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įgyvendinimą organizacijoje. </w:t>
            </w:r>
          </w:p>
        </w:tc>
      </w:tr>
      <w:tr w:rsidR="004A3532" w:rsidRPr="004A3532" w14:paraId="6129ECFF" w14:textId="77777777" w:rsidTr="004A3532">
        <w:tc>
          <w:tcPr>
            <w:tcW w:w="2920" w:type="dxa"/>
          </w:tcPr>
          <w:p w14:paraId="67639B8D" w14:textId="77777777" w:rsidR="004A3532" w:rsidRPr="004A3532" w:rsidRDefault="004A3532" w:rsidP="00920E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4A35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3. Korupcijos pasireiškimo tikimybės nustatymo pradžios ir pabaigos laikas. Analizuotas laikotarpis.</w:t>
            </w:r>
          </w:p>
        </w:tc>
        <w:tc>
          <w:tcPr>
            <w:tcW w:w="6430" w:type="dxa"/>
          </w:tcPr>
          <w:p w14:paraId="47914CFF" w14:textId="77777777" w:rsidR="004A3532" w:rsidRDefault="004A3532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KPT nustatymo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analizė atlikta kovo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 m.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kovo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d. – 2026 m.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kovo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d. </w:t>
            </w:r>
          </w:p>
          <w:p w14:paraId="735363D6" w14:textId="6C481C6A" w:rsidR="004A3532" w:rsidRPr="004A3532" w:rsidRDefault="004A3532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Analizuotas 2024 ir 2025 metų laikotarpis. </w:t>
            </w:r>
          </w:p>
        </w:tc>
      </w:tr>
      <w:tr w:rsidR="004A3532" w:rsidRPr="004A3532" w14:paraId="78B08E56" w14:textId="77777777" w:rsidTr="00FB44FB">
        <w:tc>
          <w:tcPr>
            <w:tcW w:w="9350" w:type="dxa"/>
            <w:gridSpan w:val="2"/>
          </w:tcPr>
          <w:p w14:paraId="395478F1" w14:textId="6CB19FE6" w:rsidR="004A3532" w:rsidRPr="004A3532" w:rsidRDefault="004A3532" w:rsidP="00920E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4A35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Nustatytos rizikos, jų lygiai, suskirstymas pagal svarbą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:</w:t>
            </w:r>
          </w:p>
        </w:tc>
      </w:tr>
      <w:tr w:rsidR="004A3532" w:rsidRPr="004A3532" w14:paraId="19729168" w14:textId="77777777" w:rsidTr="00E84942">
        <w:tc>
          <w:tcPr>
            <w:tcW w:w="9350" w:type="dxa"/>
            <w:gridSpan w:val="2"/>
          </w:tcPr>
          <w:tbl>
            <w:tblPr>
              <w:tblW w:w="662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20" w:firstRow="1" w:lastRow="0" w:firstColumn="0" w:lastColumn="0" w:noHBand="0" w:noVBand="1"/>
            </w:tblPr>
            <w:tblGrid>
              <w:gridCol w:w="727"/>
              <w:gridCol w:w="1483"/>
              <w:gridCol w:w="717"/>
              <w:gridCol w:w="705"/>
              <w:gridCol w:w="961"/>
              <w:gridCol w:w="828"/>
              <w:gridCol w:w="1199"/>
            </w:tblGrid>
            <w:tr w:rsidR="004A3532" w:rsidRPr="004A3532" w14:paraId="73BE89D8" w14:textId="77777777" w:rsidTr="004A3532">
              <w:trPr>
                <w:trHeight w:val="417"/>
                <w:jc w:val="center"/>
              </w:trPr>
              <w:tc>
                <w:tcPr>
                  <w:tcW w:w="727" w:type="dxa"/>
                  <w:vMerge w:val="restart"/>
                  <w:shd w:val="clear" w:color="auto" w:fill="D9D9D9" w:themeFill="background1" w:themeFillShade="D9"/>
                  <w:textDirection w:val="btLr"/>
                </w:tcPr>
                <w:p w14:paraId="5A142BEB" w14:textId="77777777" w:rsidR="004A3532" w:rsidRPr="004A3532" w:rsidRDefault="004A3532" w:rsidP="00920EFE">
                  <w:pPr>
                    <w:spacing w:line="36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  <w:t>POVEIKIS</w:t>
                  </w:r>
                </w:p>
              </w:tc>
              <w:tc>
                <w:tcPr>
                  <w:tcW w:w="1483" w:type="dxa"/>
                  <w:vAlign w:val="center"/>
                </w:tcPr>
                <w:p w14:paraId="52E5C5B7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lt-LT"/>
                    </w:rPr>
                    <w:t>Katastrofinis</w:t>
                  </w:r>
                </w:p>
              </w:tc>
              <w:tc>
                <w:tcPr>
                  <w:tcW w:w="717" w:type="dxa"/>
                  <w:shd w:val="clear" w:color="auto" w:fill="92D050"/>
                  <w:vAlign w:val="center"/>
                </w:tcPr>
                <w:p w14:paraId="53DED42C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  <w:t>5</w:t>
                  </w:r>
                </w:p>
              </w:tc>
              <w:tc>
                <w:tcPr>
                  <w:tcW w:w="705" w:type="dxa"/>
                  <w:shd w:val="clear" w:color="auto" w:fill="FFFF00"/>
                  <w:vAlign w:val="center"/>
                </w:tcPr>
                <w:p w14:paraId="267E7BE5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  <w:t>10</w:t>
                  </w:r>
                </w:p>
              </w:tc>
              <w:tc>
                <w:tcPr>
                  <w:tcW w:w="961" w:type="dxa"/>
                  <w:shd w:val="clear" w:color="auto" w:fill="FFFF00"/>
                  <w:vAlign w:val="center"/>
                </w:tcPr>
                <w:p w14:paraId="5D63C6D9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  <w:t>15</w:t>
                  </w:r>
                </w:p>
              </w:tc>
              <w:tc>
                <w:tcPr>
                  <w:tcW w:w="828" w:type="dxa"/>
                  <w:shd w:val="clear" w:color="auto" w:fill="FF0000"/>
                  <w:vAlign w:val="center"/>
                </w:tcPr>
                <w:p w14:paraId="57D057AF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  <w:t>20</w:t>
                  </w:r>
                </w:p>
              </w:tc>
              <w:tc>
                <w:tcPr>
                  <w:tcW w:w="1199" w:type="dxa"/>
                  <w:shd w:val="clear" w:color="auto" w:fill="FF0000"/>
                  <w:vAlign w:val="center"/>
                </w:tcPr>
                <w:p w14:paraId="6EC0C125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  <w:t>25</w:t>
                  </w:r>
                </w:p>
              </w:tc>
            </w:tr>
            <w:tr w:rsidR="004A3532" w:rsidRPr="004A3532" w14:paraId="5224B1CF" w14:textId="77777777" w:rsidTr="004A3532">
              <w:trPr>
                <w:trHeight w:val="417"/>
                <w:jc w:val="center"/>
              </w:trPr>
              <w:tc>
                <w:tcPr>
                  <w:tcW w:w="727" w:type="dxa"/>
                  <w:vMerge/>
                  <w:shd w:val="clear" w:color="auto" w:fill="D9D9D9" w:themeFill="background1" w:themeFillShade="D9"/>
                </w:tcPr>
                <w:p w14:paraId="6FBB28C3" w14:textId="77777777" w:rsidR="004A3532" w:rsidRPr="004A3532" w:rsidRDefault="004A3532" w:rsidP="00920EF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483" w:type="dxa"/>
                  <w:vAlign w:val="center"/>
                </w:tcPr>
                <w:p w14:paraId="7A17C66F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lt-LT"/>
                    </w:rPr>
                    <w:t>Kritinis</w:t>
                  </w:r>
                </w:p>
              </w:tc>
              <w:tc>
                <w:tcPr>
                  <w:tcW w:w="717" w:type="dxa"/>
                  <w:shd w:val="clear" w:color="auto" w:fill="92D050"/>
                  <w:vAlign w:val="center"/>
                </w:tcPr>
                <w:p w14:paraId="7D248B6E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  <w:t>4</w:t>
                  </w:r>
                </w:p>
              </w:tc>
              <w:tc>
                <w:tcPr>
                  <w:tcW w:w="705" w:type="dxa"/>
                  <w:shd w:val="clear" w:color="auto" w:fill="FFFF00"/>
                  <w:vAlign w:val="center"/>
                </w:tcPr>
                <w:p w14:paraId="7E05E595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  <w:t>8</w:t>
                  </w:r>
                </w:p>
              </w:tc>
              <w:tc>
                <w:tcPr>
                  <w:tcW w:w="961" w:type="dxa"/>
                  <w:shd w:val="clear" w:color="auto" w:fill="FFFF00"/>
                  <w:vAlign w:val="center"/>
                </w:tcPr>
                <w:p w14:paraId="43457140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  <w:t>12</w:t>
                  </w:r>
                </w:p>
              </w:tc>
              <w:tc>
                <w:tcPr>
                  <w:tcW w:w="828" w:type="dxa"/>
                  <w:shd w:val="clear" w:color="auto" w:fill="FF0000"/>
                  <w:vAlign w:val="center"/>
                </w:tcPr>
                <w:p w14:paraId="5A168249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  <w:t>16</w:t>
                  </w:r>
                </w:p>
              </w:tc>
              <w:tc>
                <w:tcPr>
                  <w:tcW w:w="1199" w:type="dxa"/>
                  <w:shd w:val="clear" w:color="auto" w:fill="FF0000"/>
                  <w:vAlign w:val="center"/>
                </w:tcPr>
                <w:p w14:paraId="2C9102C9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  <w:t>20</w:t>
                  </w:r>
                </w:p>
              </w:tc>
            </w:tr>
            <w:tr w:rsidR="004A3532" w:rsidRPr="004A3532" w14:paraId="0D281BD5" w14:textId="77777777" w:rsidTr="004A3532">
              <w:trPr>
                <w:trHeight w:val="417"/>
                <w:jc w:val="center"/>
              </w:trPr>
              <w:tc>
                <w:tcPr>
                  <w:tcW w:w="727" w:type="dxa"/>
                  <w:vMerge/>
                  <w:shd w:val="clear" w:color="auto" w:fill="D9D9D9" w:themeFill="background1" w:themeFillShade="D9"/>
                </w:tcPr>
                <w:p w14:paraId="64C63567" w14:textId="77777777" w:rsidR="004A3532" w:rsidRPr="004A3532" w:rsidRDefault="004A3532" w:rsidP="00920EF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483" w:type="dxa"/>
                  <w:vAlign w:val="center"/>
                </w:tcPr>
                <w:p w14:paraId="22FB9D24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lt-LT"/>
                    </w:rPr>
                    <w:t>Pastebimas</w:t>
                  </w:r>
                </w:p>
              </w:tc>
              <w:tc>
                <w:tcPr>
                  <w:tcW w:w="717" w:type="dxa"/>
                  <w:shd w:val="clear" w:color="auto" w:fill="92D050"/>
                  <w:vAlign w:val="center"/>
                </w:tcPr>
                <w:p w14:paraId="29C8370F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  <w:t>3</w:t>
                  </w:r>
                </w:p>
              </w:tc>
              <w:tc>
                <w:tcPr>
                  <w:tcW w:w="705" w:type="dxa"/>
                  <w:shd w:val="clear" w:color="auto" w:fill="FFFF00"/>
                  <w:vAlign w:val="center"/>
                </w:tcPr>
                <w:p w14:paraId="00F51125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  <w:t>6</w:t>
                  </w:r>
                </w:p>
              </w:tc>
              <w:tc>
                <w:tcPr>
                  <w:tcW w:w="961" w:type="dxa"/>
                  <w:shd w:val="clear" w:color="auto" w:fill="FFFF00"/>
                  <w:vAlign w:val="center"/>
                </w:tcPr>
                <w:p w14:paraId="549F71FC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  <w:t>9</w:t>
                  </w:r>
                </w:p>
              </w:tc>
              <w:tc>
                <w:tcPr>
                  <w:tcW w:w="828" w:type="dxa"/>
                  <w:shd w:val="clear" w:color="auto" w:fill="FFFF00"/>
                  <w:vAlign w:val="center"/>
                </w:tcPr>
                <w:p w14:paraId="03E4BD93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  <w:t>12</w:t>
                  </w:r>
                </w:p>
              </w:tc>
              <w:tc>
                <w:tcPr>
                  <w:tcW w:w="1199" w:type="dxa"/>
                  <w:shd w:val="clear" w:color="auto" w:fill="FFFF00"/>
                  <w:vAlign w:val="center"/>
                </w:tcPr>
                <w:p w14:paraId="794953FD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  <w:t>15</w:t>
                  </w:r>
                </w:p>
              </w:tc>
            </w:tr>
            <w:tr w:rsidR="004A3532" w:rsidRPr="004A3532" w14:paraId="14A75CC1" w14:textId="77777777" w:rsidTr="004A3532">
              <w:trPr>
                <w:trHeight w:val="417"/>
                <w:jc w:val="center"/>
              </w:trPr>
              <w:tc>
                <w:tcPr>
                  <w:tcW w:w="727" w:type="dxa"/>
                  <w:vMerge/>
                  <w:shd w:val="clear" w:color="auto" w:fill="D9D9D9" w:themeFill="background1" w:themeFillShade="D9"/>
                </w:tcPr>
                <w:p w14:paraId="56C064B6" w14:textId="77777777" w:rsidR="004A3532" w:rsidRPr="004A3532" w:rsidRDefault="004A3532" w:rsidP="00920EF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483" w:type="dxa"/>
                  <w:vAlign w:val="center"/>
                </w:tcPr>
                <w:p w14:paraId="2DE48C02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lt-LT"/>
                    </w:rPr>
                    <w:t>Žemas</w:t>
                  </w:r>
                </w:p>
              </w:tc>
              <w:tc>
                <w:tcPr>
                  <w:tcW w:w="717" w:type="dxa"/>
                  <w:shd w:val="clear" w:color="auto" w:fill="92D050"/>
                  <w:vAlign w:val="center"/>
                </w:tcPr>
                <w:p w14:paraId="33DC062A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  <w:t>2</w:t>
                  </w:r>
                </w:p>
              </w:tc>
              <w:tc>
                <w:tcPr>
                  <w:tcW w:w="705" w:type="dxa"/>
                  <w:shd w:val="clear" w:color="auto" w:fill="92D050"/>
                  <w:vAlign w:val="center"/>
                </w:tcPr>
                <w:p w14:paraId="7A663FB3" w14:textId="77777777" w:rsidR="004A3532" w:rsidRDefault="004A3532" w:rsidP="004A35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  <w:t>4</w:t>
                  </w:r>
                </w:p>
                <w:p w14:paraId="1AE54024" w14:textId="0A639863" w:rsidR="004A3532" w:rsidRPr="004A3532" w:rsidRDefault="004A3532" w:rsidP="004A35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3"/>
                      <w:szCs w:val="13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Cs/>
                      <w:sz w:val="13"/>
                      <w:szCs w:val="13"/>
                      <w:lang w:val="lt-LT"/>
                    </w:rPr>
                    <w:t>R1, R5</w:t>
                  </w:r>
                </w:p>
              </w:tc>
              <w:tc>
                <w:tcPr>
                  <w:tcW w:w="961" w:type="dxa"/>
                  <w:shd w:val="clear" w:color="auto" w:fill="FFFF00"/>
                  <w:vAlign w:val="center"/>
                </w:tcPr>
                <w:p w14:paraId="67DA7879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  <w:t>6</w:t>
                  </w:r>
                </w:p>
              </w:tc>
              <w:tc>
                <w:tcPr>
                  <w:tcW w:w="828" w:type="dxa"/>
                  <w:shd w:val="clear" w:color="auto" w:fill="FFFF00"/>
                  <w:vAlign w:val="center"/>
                </w:tcPr>
                <w:p w14:paraId="434C9A2A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  <w:t>8</w:t>
                  </w:r>
                </w:p>
              </w:tc>
              <w:tc>
                <w:tcPr>
                  <w:tcW w:w="1199" w:type="dxa"/>
                  <w:shd w:val="clear" w:color="auto" w:fill="FFFF00"/>
                  <w:vAlign w:val="center"/>
                </w:tcPr>
                <w:p w14:paraId="6CC31FC9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  <w:t>10</w:t>
                  </w:r>
                </w:p>
              </w:tc>
            </w:tr>
            <w:tr w:rsidR="004A3532" w:rsidRPr="004A3532" w14:paraId="40831B08" w14:textId="77777777" w:rsidTr="004A3532">
              <w:trPr>
                <w:trHeight w:val="417"/>
                <w:jc w:val="center"/>
              </w:trPr>
              <w:tc>
                <w:tcPr>
                  <w:tcW w:w="727" w:type="dxa"/>
                  <w:vMerge/>
                  <w:shd w:val="clear" w:color="auto" w:fill="D9D9D9" w:themeFill="background1" w:themeFillShade="D9"/>
                </w:tcPr>
                <w:p w14:paraId="739E1FD1" w14:textId="77777777" w:rsidR="004A3532" w:rsidRPr="004A3532" w:rsidRDefault="004A3532" w:rsidP="00920EF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483" w:type="dxa"/>
                  <w:vAlign w:val="center"/>
                </w:tcPr>
                <w:p w14:paraId="14378E9D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lt-LT"/>
                    </w:rPr>
                    <w:t>Nereikšmingas</w:t>
                  </w:r>
                </w:p>
              </w:tc>
              <w:tc>
                <w:tcPr>
                  <w:tcW w:w="717" w:type="dxa"/>
                  <w:shd w:val="clear" w:color="auto" w:fill="92D050"/>
                  <w:vAlign w:val="center"/>
                </w:tcPr>
                <w:p w14:paraId="26B502F6" w14:textId="77777777" w:rsidR="004A3532" w:rsidRDefault="004A3532" w:rsidP="004A35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  <w:t>1</w:t>
                  </w:r>
                </w:p>
                <w:p w14:paraId="3266CFEA" w14:textId="5FFE25E9" w:rsidR="004A3532" w:rsidRPr="004A3532" w:rsidRDefault="004A3532" w:rsidP="004A35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3"/>
                      <w:szCs w:val="13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Cs/>
                      <w:sz w:val="13"/>
                      <w:szCs w:val="13"/>
                      <w:lang w:val="lt-LT"/>
                    </w:rPr>
                    <w:t>R3</w:t>
                  </w:r>
                </w:p>
              </w:tc>
              <w:tc>
                <w:tcPr>
                  <w:tcW w:w="705" w:type="dxa"/>
                  <w:shd w:val="clear" w:color="auto" w:fill="92D050"/>
                  <w:vAlign w:val="center"/>
                </w:tcPr>
                <w:p w14:paraId="25C5FE00" w14:textId="77777777" w:rsid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  <w:t>2</w:t>
                  </w:r>
                </w:p>
                <w:p w14:paraId="2D43044C" w14:textId="3F453D33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13"/>
                      <w:szCs w:val="13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Cs/>
                      <w:sz w:val="13"/>
                      <w:szCs w:val="13"/>
                      <w:lang w:val="lt-LT"/>
                    </w:rPr>
                    <w:t>R2, R4, R6</w:t>
                  </w:r>
                </w:p>
              </w:tc>
              <w:tc>
                <w:tcPr>
                  <w:tcW w:w="961" w:type="dxa"/>
                  <w:shd w:val="clear" w:color="auto" w:fill="92D050"/>
                  <w:vAlign w:val="center"/>
                </w:tcPr>
                <w:p w14:paraId="7F08AB9A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  <w:t>3</w:t>
                  </w:r>
                </w:p>
              </w:tc>
              <w:tc>
                <w:tcPr>
                  <w:tcW w:w="828" w:type="dxa"/>
                  <w:shd w:val="clear" w:color="auto" w:fill="92D050"/>
                  <w:vAlign w:val="center"/>
                </w:tcPr>
                <w:p w14:paraId="0AAC248A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  <w:t>4</w:t>
                  </w:r>
                </w:p>
              </w:tc>
              <w:tc>
                <w:tcPr>
                  <w:tcW w:w="1199" w:type="dxa"/>
                  <w:shd w:val="clear" w:color="auto" w:fill="92D050"/>
                  <w:vAlign w:val="center"/>
                </w:tcPr>
                <w:p w14:paraId="090283B3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  <w:t>5</w:t>
                  </w:r>
                </w:p>
              </w:tc>
            </w:tr>
            <w:tr w:rsidR="004A3532" w:rsidRPr="004A3532" w14:paraId="195BD678" w14:textId="77777777" w:rsidTr="004A3532">
              <w:trPr>
                <w:trHeight w:val="572"/>
                <w:jc w:val="center"/>
              </w:trPr>
              <w:tc>
                <w:tcPr>
                  <w:tcW w:w="727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0B0D3CF" w14:textId="77777777" w:rsidR="004A3532" w:rsidRPr="004A3532" w:rsidRDefault="004A3532" w:rsidP="00920EF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483" w:type="dxa"/>
                  <w:vAlign w:val="center"/>
                </w:tcPr>
                <w:p w14:paraId="1ABA4DC5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7846406D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lt-LT"/>
                    </w:rPr>
                    <w:t>Labai žema</w:t>
                  </w:r>
                </w:p>
              </w:tc>
              <w:tc>
                <w:tcPr>
                  <w:tcW w:w="705" w:type="dxa"/>
                  <w:vAlign w:val="center"/>
                </w:tcPr>
                <w:p w14:paraId="3A229457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lt-LT"/>
                    </w:rPr>
                    <w:t>Žema</w:t>
                  </w:r>
                </w:p>
              </w:tc>
              <w:tc>
                <w:tcPr>
                  <w:tcW w:w="961" w:type="dxa"/>
                  <w:vAlign w:val="center"/>
                </w:tcPr>
                <w:p w14:paraId="5BA19DB4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lt-LT"/>
                    </w:rPr>
                    <w:t>Vidutinė</w:t>
                  </w:r>
                </w:p>
              </w:tc>
              <w:tc>
                <w:tcPr>
                  <w:tcW w:w="828" w:type="dxa"/>
                  <w:vAlign w:val="center"/>
                </w:tcPr>
                <w:p w14:paraId="622BE2E6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lt-LT"/>
                    </w:rPr>
                    <w:t>Aukšta</w:t>
                  </w:r>
                </w:p>
              </w:tc>
              <w:tc>
                <w:tcPr>
                  <w:tcW w:w="1199" w:type="dxa"/>
                  <w:vAlign w:val="center"/>
                </w:tcPr>
                <w:p w14:paraId="48AC6998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lt-LT"/>
                    </w:rPr>
                    <w:t>Labai aukšta</w:t>
                  </w:r>
                </w:p>
              </w:tc>
            </w:tr>
            <w:tr w:rsidR="004A3532" w:rsidRPr="004A3532" w14:paraId="4C596E4C" w14:textId="77777777" w:rsidTr="004A3532">
              <w:trPr>
                <w:trHeight w:val="417"/>
                <w:jc w:val="center"/>
              </w:trPr>
              <w:tc>
                <w:tcPr>
                  <w:tcW w:w="727" w:type="dxa"/>
                  <w:tcBorders>
                    <w:left w:val="nil"/>
                    <w:bottom w:val="nil"/>
                  </w:tcBorders>
                </w:tcPr>
                <w:p w14:paraId="733F82CC" w14:textId="77777777" w:rsidR="004A3532" w:rsidRPr="004A3532" w:rsidRDefault="004A3532" w:rsidP="00920EF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5893" w:type="dxa"/>
                  <w:gridSpan w:val="6"/>
                  <w:shd w:val="clear" w:color="auto" w:fill="D9D9D9" w:themeFill="background1" w:themeFillShade="D9"/>
                </w:tcPr>
                <w:p w14:paraId="6689B7B4" w14:textId="77777777" w:rsidR="004A3532" w:rsidRPr="004A3532" w:rsidRDefault="004A3532" w:rsidP="00920EF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</w:pPr>
                  <w:r w:rsidRPr="004A353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lt-LT"/>
                    </w:rPr>
                    <w:t>TIKIMYBĖ</w:t>
                  </w:r>
                </w:p>
              </w:tc>
            </w:tr>
          </w:tbl>
          <w:p w14:paraId="1DE947C2" w14:textId="77777777" w:rsidR="004A3532" w:rsidRPr="004A3532" w:rsidRDefault="004A3532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A3532" w:rsidRPr="004A3532" w14:paraId="538E9195" w14:textId="77777777" w:rsidTr="004A3532">
        <w:tc>
          <w:tcPr>
            <w:tcW w:w="2920" w:type="dxa"/>
          </w:tcPr>
          <w:p w14:paraId="5B40F189" w14:textId="77777777" w:rsidR="004A3532" w:rsidRPr="004A3532" w:rsidRDefault="004A3532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 xml:space="preserve">4.1. </w:t>
            </w:r>
            <w:r w:rsidRPr="004A35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Raudonas rizikingumo lygis</w:t>
            </w: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(žemėjančia tvarka nuo didžiausio balo)</w:t>
            </w:r>
          </w:p>
        </w:tc>
        <w:tc>
          <w:tcPr>
            <w:tcW w:w="6430" w:type="dxa"/>
          </w:tcPr>
          <w:p w14:paraId="657EFBCB" w14:textId="39A5EFCE" w:rsidR="004A3532" w:rsidRPr="004A3532" w:rsidRDefault="004A3532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Nenustatyta.</w:t>
            </w:r>
          </w:p>
        </w:tc>
      </w:tr>
      <w:tr w:rsidR="004A3532" w:rsidRPr="004A3532" w14:paraId="5F09F100" w14:textId="77777777" w:rsidTr="004A3532">
        <w:tc>
          <w:tcPr>
            <w:tcW w:w="2920" w:type="dxa"/>
          </w:tcPr>
          <w:p w14:paraId="1F73DE1E" w14:textId="77777777" w:rsidR="004A3532" w:rsidRPr="004A3532" w:rsidRDefault="004A3532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A35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4.2. Geltonas rizikingumo lygis</w:t>
            </w: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(žemėjančia tvarka nuo didžiausio balo)</w:t>
            </w:r>
          </w:p>
        </w:tc>
        <w:tc>
          <w:tcPr>
            <w:tcW w:w="6430" w:type="dxa"/>
          </w:tcPr>
          <w:p w14:paraId="1F90FB5F" w14:textId="683B6B1B" w:rsidR="004A3532" w:rsidRPr="004A3532" w:rsidRDefault="004A3532" w:rsidP="004A3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Nenustatyta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5082D97" w14:textId="77777777" w:rsidR="004A3532" w:rsidRDefault="004A3532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3B1CE856" w14:textId="79666FE2" w:rsidR="004A3532" w:rsidRPr="004A3532" w:rsidRDefault="004A3532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A3532" w:rsidRPr="004A3532" w14:paraId="3DC2C6AB" w14:textId="77777777" w:rsidTr="004A3532">
        <w:tc>
          <w:tcPr>
            <w:tcW w:w="2920" w:type="dxa"/>
          </w:tcPr>
          <w:p w14:paraId="1B6F6AF6" w14:textId="77777777" w:rsidR="004A3532" w:rsidRPr="004A3532" w:rsidRDefault="004A3532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4.3. Žalias rizikingumo lygis (žemėjančia tvarka nuo didžiausio balo)</w:t>
            </w:r>
          </w:p>
        </w:tc>
        <w:tc>
          <w:tcPr>
            <w:tcW w:w="6430" w:type="dxa"/>
          </w:tcPr>
          <w:p w14:paraId="094D6EFC" w14:textId="64028F35" w:rsidR="004A3532" w:rsidRPr="004A3532" w:rsidRDefault="004A3532" w:rsidP="004A353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Tikimybės lygis nustatytas vadovaujantis Specialiųjų tyrimų tarnybos rekomendacijų 17 punktu, įvertinant rizikos pasireiškimo tikimybę ir galimą poveikį. Rizikos reikšmė apskaičiuojama pagal formulę R=</w:t>
            </w:r>
            <w:proofErr w:type="spellStart"/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TxP</w:t>
            </w:r>
            <w:proofErr w:type="spellEnd"/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, kur T - tikimybė, P - poveikis. </w:t>
            </w:r>
          </w:p>
          <w:p w14:paraId="7AA77915" w14:textId="7A783396" w:rsidR="004A3532" w:rsidRPr="004A3532" w:rsidRDefault="004A3532" w:rsidP="004A353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Personalo valdymo srityje. R1 Subjektyvumas atrenkant specialistus kvalifikacijos kėlimui ir mokymams. Rizikos lygis </w:t>
            </w: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žemas</w:t>
            </w: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(R4)</w:t>
            </w: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. </w:t>
            </w:r>
          </w:p>
          <w:p w14:paraId="05DD1C09" w14:textId="62713ACC" w:rsidR="004A3532" w:rsidRPr="004A3532" w:rsidRDefault="004A3532" w:rsidP="004A353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Infrastruktūroje R5 numatomas neskaidrus infrastruktūros naudojimo laiko paskirstymas. Rizikos lygis </w:t>
            </w: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žemas</w:t>
            </w: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(R4)</w:t>
            </w:r>
          </w:p>
          <w:p w14:paraId="15DC3614" w14:textId="0AFE1227" w:rsidR="004A3532" w:rsidRPr="004A3532" w:rsidRDefault="004A3532" w:rsidP="004A353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Personalo valdymo srityje R2 nevienodas mokymų skyrimas darbuotojams. Rizikos lygis žemas (R2)</w:t>
            </w:r>
          </w:p>
          <w:p w14:paraId="534A581F" w14:textId="2F16B0DD" w:rsidR="004A3532" w:rsidRPr="004A3532" w:rsidRDefault="004A3532" w:rsidP="004A353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Komunikacijos srityje R3 komunikacijos sprendimų pagrindimas rizikos lygis žemas (R1), R4 Skirtingas dėmesys sportininkams ar veikloms, rizikos lygis žemas (R2).</w:t>
            </w:r>
          </w:p>
          <w:p w14:paraId="2A08F4F5" w14:textId="6A16848F" w:rsidR="004A3532" w:rsidRPr="004A3532" w:rsidRDefault="004A3532" w:rsidP="004A353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Infrastruktūros srityje R6 – inventoriaus paskirstymo kontrolės trūkumai vertinami žemu rizikos pasireiškimo balu (R2)</w:t>
            </w:r>
          </w:p>
          <w:p w14:paraId="1C6730AB" w14:textId="523E945F" w:rsidR="004A3532" w:rsidRPr="004A3532" w:rsidRDefault="004A3532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Analizuotu laikotarpiu nebuvo fiksuota korupcinio pobūdžio atvejų. Rizikos lygio skaičiavimas 1x1=1. Rizikos lygis lygus 1.</w:t>
            </w:r>
          </w:p>
        </w:tc>
      </w:tr>
      <w:tr w:rsidR="004A3532" w:rsidRPr="004A3532" w14:paraId="1E1E6DE7" w14:textId="77777777" w:rsidTr="004A3532">
        <w:tc>
          <w:tcPr>
            <w:tcW w:w="2920" w:type="dxa"/>
          </w:tcPr>
          <w:p w14:paraId="744C70F3" w14:textId="77777777" w:rsidR="004A3532" w:rsidRPr="004A3532" w:rsidRDefault="004A3532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 Pasiūlymai dėl nustatytų rizikų mažinimo priemonių taikymo</w:t>
            </w:r>
          </w:p>
        </w:tc>
        <w:tc>
          <w:tcPr>
            <w:tcW w:w="6430" w:type="dxa"/>
          </w:tcPr>
          <w:p w14:paraId="33960A85" w14:textId="7344907E" w:rsidR="004A3532" w:rsidRPr="004A3532" w:rsidRDefault="004A3532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Vadovaujantis Lietuvos Respublikos specialiųjų tyrimų tarnybos direktoriaus 2021 m. lapkričio 30 d. įsakymu Nr. 2-246 (galiojanti suvestinė redakcija nuo 2023-05-16) patvirtintų ,„Korupcijos pasireiškimo tikimybės nustatymo ir jo atlikimo tvarkos rekomendacijų“ 21.6.1. p., kai žemo (žalio) rizikingumo lygio rizikų išsamiau nagrinėti, nustatyti joms mažinti atskirų priemonių paprastai netikslinga,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Futbolo akademija </w:t>
            </w: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nenustato rizikų mažinimo priemonių, esant žemo rizikingumo lygio rizikoms.</w:t>
            </w:r>
          </w:p>
        </w:tc>
      </w:tr>
      <w:tr w:rsidR="004A3532" w:rsidRPr="004A3532" w14:paraId="33943885" w14:textId="77777777" w:rsidTr="004A3532">
        <w:tc>
          <w:tcPr>
            <w:tcW w:w="2920" w:type="dxa"/>
          </w:tcPr>
          <w:p w14:paraId="106B0BBD" w14:textId="77777777" w:rsidR="004A3532" w:rsidRPr="004A3532" w:rsidRDefault="004A3532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6. Kitos pastabos</w:t>
            </w:r>
          </w:p>
        </w:tc>
        <w:tc>
          <w:tcPr>
            <w:tcW w:w="6430" w:type="dxa"/>
          </w:tcPr>
          <w:p w14:paraId="75AE1CCF" w14:textId="0BAD1B10" w:rsidR="004A3532" w:rsidRPr="004A3532" w:rsidRDefault="004A3532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-</w:t>
            </w:r>
          </w:p>
        </w:tc>
      </w:tr>
      <w:tr w:rsidR="004A3532" w:rsidRPr="004A3532" w14:paraId="63E16DDF" w14:textId="77777777" w:rsidTr="004A3532">
        <w:tc>
          <w:tcPr>
            <w:tcW w:w="2920" w:type="dxa"/>
          </w:tcPr>
          <w:p w14:paraId="584921CD" w14:textId="77777777" w:rsidR="004A3532" w:rsidRPr="004A3532" w:rsidRDefault="004A3532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7. Priedai</w:t>
            </w:r>
          </w:p>
        </w:tc>
        <w:tc>
          <w:tcPr>
            <w:tcW w:w="6430" w:type="dxa"/>
          </w:tcPr>
          <w:p w14:paraId="08A2AD5D" w14:textId="0AF3F4CE" w:rsidR="004A3532" w:rsidRPr="004A3532" w:rsidRDefault="004A3532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-</w:t>
            </w:r>
          </w:p>
        </w:tc>
      </w:tr>
      <w:tr w:rsidR="004A3532" w:rsidRPr="004A3532" w14:paraId="08A5D9FB" w14:textId="77777777" w:rsidTr="004A3532">
        <w:tc>
          <w:tcPr>
            <w:tcW w:w="2920" w:type="dxa"/>
          </w:tcPr>
          <w:p w14:paraId="5A4100D7" w14:textId="28681EA5" w:rsidR="004A3532" w:rsidRPr="004A3532" w:rsidRDefault="004A3532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Išvadą parengęs asmuo: </w:t>
            </w:r>
          </w:p>
        </w:tc>
        <w:tc>
          <w:tcPr>
            <w:tcW w:w="6430" w:type="dxa"/>
          </w:tcPr>
          <w:p w14:paraId="0ACA297A" w14:textId="051B843F" w:rsidR="004A3532" w:rsidRPr="004A3532" w:rsidRDefault="004A3532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Direktoriaus pavaduotoja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bendriesiems reikalams Greta Lukjančukė </w:t>
            </w:r>
            <w:r w:rsidRPr="004A353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atsakinga už korupcijai atsparios aplinkos kūrimą</w:t>
            </w:r>
          </w:p>
        </w:tc>
      </w:tr>
    </w:tbl>
    <w:p w14:paraId="7F70F051" w14:textId="77777777" w:rsidR="004A3532" w:rsidRPr="004A3532" w:rsidRDefault="004A3532">
      <w:pPr>
        <w:rPr>
          <w:rFonts w:ascii="Times New Roman" w:hAnsi="Times New Roman" w:cs="Times New Roman"/>
          <w:sz w:val="20"/>
          <w:szCs w:val="20"/>
          <w:lang w:val="lt-LT"/>
        </w:rPr>
      </w:pPr>
    </w:p>
    <w:sectPr w:rsidR="004A3532" w:rsidRPr="004A3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84DBA"/>
    <w:multiLevelType w:val="hybridMultilevel"/>
    <w:tmpl w:val="9C12E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03CB4"/>
    <w:multiLevelType w:val="hybridMultilevel"/>
    <w:tmpl w:val="16809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26D53"/>
    <w:multiLevelType w:val="hybridMultilevel"/>
    <w:tmpl w:val="012685C2"/>
    <w:lvl w:ilvl="0" w:tplc="CFF6BB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966390">
    <w:abstractNumId w:val="1"/>
  </w:num>
  <w:num w:numId="2" w16cid:durableId="2029484041">
    <w:abstractNumId w:val="0"/>
  </w:num>
  <w:num w:numId="3" w16cid:durableId="1793404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7B"/>
    <w:rsid w:val="004A3532"/>
    <w:rsid w:val="0096576E"/>
    <w:rsid w:val="00A4347B"/>
    <w:rsid w:val="00D4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717A0"/>
  <w15:chartTrackingRefBased/>
  <w15:docId w15:val="{C4AD12C4-DA1B-4F2F-A546-6B9AEC59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A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3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 Šiauliai</dc:creator>
  <cp:keywords/>
  <dc:description/>
  <cp:lastModifiedBy>Greta Lukjančukė</cp:lastModifiedBy>
  <cp:revision>2</cp:revision>
  <dcterms:created xsi:type="dcterms:W3CDTF">2026-03-19T09:39:00Z</dcterms:created>
  <dcterms:modified xsi:type="dcterms:W3CDTF">2026-03-19T13:14:00Z</dcterms:modified>
</cp:coreProperties>
</file>